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📈 Annex B – IRR Sensitivity</w:t>
      </w:r>
    </w:p>
    <w:p>
      <w:r>
        <w:t>Methodology: Scenario modelling at a 10% discount rate, based on Terra Vita’s pre‑launch assumptions. All figures are modelled estimates, not measured results.</w:t>
      </w:r>
    </w:p>
    <w:p>
      <w:r>
        <w:t>IRR Sensitivity Grid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Scenario</w:t>
            </w:r>
          </w:p>
        </w:tc>
        <w:tc>
          <w:tcPr>
            <w:tcW w:type="dxa" w:w="1728"/>
          </w:tcPr>
          <w:p>
            <w:r>
              <w:t>IRR</w:t>
            </w:r>
          </w:p>
        </w:tc>
        <w:tc>
          <w:tcPr>
            <w:tcW w:type="dxa" w:w="1728"/>
          </w:tcPr>
          <w:p>
            <w:r>
              <w:t>Payback (yrs)</w:t>
            </w:r>
          </w:p>
        </w:tc>
        <w:tc>
          <w:tcPr>
            <w:tcW w:type="dxa" w:w="1728"/>
          </w:tcPr>
          <w:p>
            <w:r>
              <w:t>NPV @10% (€)</w:t>
            </w:r>
          </w:p>
        </w:tc>
        <w:tc>
          <w:tcPr>
            <w:tcW w:type="dxa" w:w="1728"/>
          </w:tcPr>
          <w:p>
            <w:r>
              <w:t>Assumptions</w:t>
            </w:r>
          </w:p>
        </w:tc>
      </w:tr>
      <w:tr>
        <w:tc>
          <w:tcPr>
            <w:tcW w:type="dxa" w:w="1728"/>
          </w:tcPr>
          <w:p>
            <w:r>
              <w:t>Downside</w:t>
            </w:r>
          </w:p>
        </w:tc>
        <w:tc>
          <w:tcPr>
            <w:tcW w:type="dxa" w:w="1728"/>
          </w:tcPr>
          <w:p>
            <w:r>
              <w:t>16%</w:t>
            </w:r>
          </w:p>
        </w:tc>
        <w:tc>
          <w:tcPr>
            <w:tcW w:type="dxa" w:w="1728"/>
          </w:tcPr>
          <w:p>
            <w:r>
              <w:t>3.2</w:t>
            </w:r>
          </w:p>
        </w:tc>
        <w:tc>
          <w:tcPr>
            <w:tcW w:type="dxa" w:w="1728"/>
          </w:tcPr>
          <w:p>
            <w:r>
              <w:t>50,000</w:t>
            </w:r>
          </w:p>
        </w:tc>
        <w:tc>
          <w:tcPr>
            <w:tcW w:type="dxa" w:w="1728"/>
          </w:tcPr>
          <w:p>
            <w:r>
              <w:t>Slower uptake, higher OPEX, delayed carbon credits</w:t>
            </w:r>
          </w:p>
        </w:tc>
      </w:tr>
      <w:tr>
        <w:tc>
          <w:tcPr>
            <w:tcW w:type="dxa" w:w="1728"/>
          </w:tcPr>
          <w:p>
            <w:r>
              <w:t>Base Case</w:t>
            </w:r>
          </w:p>
        </w:tc>
        <w:tc>
          <w:tcPr>
            <w:tcW w:type="dxa" w:w="1728"/>
          </w:tcPr>
          <w:p>
            <w:r>
              <w:t>22%</w:t>
            </w:r>
          </w:p>
        </w:tc>
        <w:tc>
          <w:tcPr>
            <w:tcW w:type="dxa" w:w="1728"/>
          </w:tcPr>
          <w:p>
            <w:r>
              <w:t>1.9</w:t>
            </w:r>
          </w:p>
        </w:tc>
        <w:tc>
          <w:tcPr>
            <w:tcW w:type="dxa" w:w="1728"/>
          </w:tcPr>
          <w:p>
            <w:r>
              <w:t>125,000</w:t>
            </w:r>
          </w:p>
        </w:tc>
        <w:tc>
          <w:tcPr>
            <w:tcW w:type="dxa" w:w="1728"/>
          </w:tcPr>
          <w:p>
            <w:r>
              <w:t>As modelled: steady demand, lean OPEX, carbon credits from Y2</w:t>
            </w:r>
          </w:p>
        </w:tc>
      </w:tr>
      <w:tr>
        <w:tc>
          <w:tcPr>
            <w:tcW w:type="dxa" w:w="1728"/>
          </w:tcPr>
          <w:p>
            <w:r>
              <w:t>Upside</w:t>
            </w:r>
          </w:p>
        </w:tc>
        <w:tc>
          <w:tcPr>
            <w:tcW w:type="dxa" w:w="1728"/>
          </w:tcPr>
          <w:p>
            <w:r>
              <w:t>28%</w:t>
            </w:r>
          </w:p>
        </w:tc>
        <w:tc>
          <w:tcPr>
            <w:tcW w:type="dxa" w:w="1728"/>
          </w:tcPr>
          <w:p>
            <w:r>
              <w:t>1.5</w:t>
            </w:r>
          </w:p>
        </w:tc>
        <w:tc>
          <w:tcPr>
            <w:tcW w:type="dxa" w:w="1728"/>
          </w:tcPr>
          <w:p>
            <w:r>
              <w:t>210,000</w:t>
            </w:r>
          </w:p>
        </w:tc>
        <w:tc>
          <w:tcPr>
            <w:tcW w:type="dxa" w:w="1728"/>
          </w:tcPr>
          <w:p>
            <w:r>
              <w:t>Faster demand, premium pricing, earlier scaling of workshops/oils</w:t>
            </w:r>
          </w:p>
        </w:tc>
      </w:tr>
    </w:tbl>
    <w:p>
      <w:r>
        <w:t>Key View: Returns remain attractive across all cases. Even in downside, IRR &gt;15% with positive NPV; upside demonstrates scalable potential and rapid payback.</w:t>
      </w:r>
    </w:p>
    <w:p>
      <w:r>
        <w:t>Investor Logic</w:t>
      </w:r>
    </w:p>
    <w:p>
      <w:r>
        <w:t>Downside: Still investable — IRR above many benchmarks, NPV positive.</w:t>
      </w:r>
    </w:p>
    <w:p>
      <w:r>
        <w:t>Base Case: Balanced, credible, aligned with Terra Vita’s governance story.</w:t>
      </w:r>
    </w:p>
    <w:p>
      <w:r>
        <w:t>Upside: Shows scalability and premium positioning potential.</w:t>
      </w:r>
    </w:p>
    <w:p>
      <w:r>
        <w:t>Visuals</w:t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B_ir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B_paybac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B_npv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